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E32" w:rsidRDefault="00D848F2">
      <w:pPr>
        <w:rPr>
          <w:rFonts w:ascii="Arial" w:eastAsia="Arial" w:hAnsi="Arial" w:cs="Arial"/>
          <w:b/>
          <w:sz w:val="36"/>
          <w:szCs w:val="36"/>
        </w:rPr>
      </w:pPr>
      <w:bookmarkStart w:id="0" w:name="_heading=h.gjdgxs" w:colFirst="0" w:colLast="0"/>
      <w:bookmarkStart w:id="1" w:name="_GoBack"/>
      <w:bookmarkEnd w:id="0"/>
      <w:bookmarkEnd w:id="1"/>
      <w:r>
        <w:rPr>
          <w:rFonts w:ascii="Arial" w:eastAsia="Arial" w:hAnsi="Arial" w:cs="Arial"/>
          <w:b/>
          <w:sz w:val="36"/>
          <w:szCs w:val="36"/>
        </w:rPr>
        <w:t>Joint Schedule 1 (Definitions)</w:t>
      </w:r>
    </w:p>
    <w:p w:rsidR="00876E32" w:rsidRDefault="00D848F2">
      <w:pPr>
        <w:numPr>
          <w:ilvl w:val="1"/>
          <w:numId w:val="6"/>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2" w:name="bookmark=id.30j0zll"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876E32" w:rsidRDefault="00D848F2">
      <w:pPr>
        <w:numPr>
          <w:ilvl w:val="1"/>
          <w:numId w:val="6"/>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876E32" w:rsidRDefault="00D848F2">
      <w:pPr>
        <w:keepNext/>
        <w:numPr>
          <w:ilvl w:val="1"/>
          <w:numId w:val="6"/>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headings in each Contract are for ease of reference only and shall not affect the interpretation or construction of a Contract; and</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Buyer is a Crown Body it shall be treated as contracting with the Crown as a whole.</w:t>
      </w:r>
    </w:p>
    <w:p w:rsidR="00876E32" w:rsidRDefault="00D848F2">
      <w:pPr>
        <w:keepNext/>
        <w:numPr>
          <w:ilvl w:val="1"/>
          <w:numId w:val="6"/>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each Contract, unless the context otherwise requires, the following words shall have the following meanings:</w:t>
      </w:r>
    </w:p>
    <w:p w:rsidR="00876E32" w:rsidRDefault="00876E32">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2"/>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“Application Support”</w:t>
            </w:r>
          </w:p>
        </w:tc>
        <w:tc>
          <w:tcPr>
            <w:tcW w:w="7566" w:type="dxa"/>
          </w:tcPr>
          <w:p w:rsidR="00876E32" w:rsidRDefault="00D848F2">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a wide variety of application services, processes and methodologies for maintaining, enhancing, managing and supporting custom or enterprise applications, packaged software applications, or network-delivered applications.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identify or investigate any circumstances which may impact upon the financial stability of the Supplier, any Guarantor, and/or any Subcontractors or their ability to provide the Deliverables;</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566" w:type="dxa"/>
          </w:tcPr>
          <w:p w:rsidR="00876E32" w:rsidRDefault="00D848F2">
            <w:pPr>
              <w:numPr>
                <w:ilvl w:val="0"/>
                <w:numId w:val="7"/>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876E32">
        <w:trPr>
          <w:trHeight w:val="601"/>
        </w:trPr>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566" w:type="dxa"/>
          </w:tcPr>
          <w:p w:rsidR="00876E32" w:rsidRDefault="00D848F2">
            <w:pPr>
              <w:rPr>
                <w:rFonts w:ascii="Arial" w:eastAsia="Arial" w:hAnsi="Arial" w:cs="Arial"/>
                <w:sz w:val="24"/>
                <w:szCs w:val="24"/>
              </w:rPr>
            </w:pPr>
            <w:r>
              <w:rPr>
                <w:rFonts w:ascii="Arial" w:eastAsia="Arial" w:hAnsi="Arial" w:cs="Arial"/>
                <w:sz w:val="24"/>
                <w:szCs w:val="24"/>
              </w:rPr>
              <w:t xml:space="preserve">   CCS and each Buyer;</w:t>
            </w:r>
          </w:p>
        </w:tc>
      </w:tr>
      <w:tr w:rsidR="00876E32">
        <w:tc>
          <w:tcPr>
            <w:tcW w:w="2181" w:type="dxa"/>
          </w:tcPr>
          <w:p w:rsidR="00876E32" w:rsidRDefault="00D848F2">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876E32">
        <w:tc>
          <w:tcPr>
            <w:tcW w:w="2181"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“Balanced Scorecard”</w:t>
            </w:r>
          </w:p>
        </w:tc>
        <w:tc>
          <w:tcPr>
            <w:tcW w:w="7566"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 tool for Call-Off Contact management activity, through measurement of a Supplier’s performance against key performance indicator, which the Buyer and Supplier may agree at the Call-Off Contract Start Date;</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"Buyer"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876E32">
        <w:tc>
          <w:tcPr>
            <w:tcW w:w="2181"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the end of a Call-Off Contract as stated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Procedure and Award Criteria);</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876E32">
        <w:tc>
          <w:tcPr>
            <w:tcW w:w="2181"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“Cap”</w:t>
            </w:r>
          </w:p>
        </w:tc>
        <w:tc>
          <w:tcPr>
            <w:tcW w:w="7566"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maximum amount to be paid by the Buyer under a Time and Materials mechanism for the delivery of an agreed scope;</w:t>
            </w:r>
          </w:p>
        </w:tc>
      </w:tr>
      <w:tr w:rsidR="00876E32">
        <w:tc>
          <w:tcPr>
            <w:tcW w:w="2181"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“Capped Time and Materials”</w:t>
            </w:r>
          </w:p>
        </w:tc>
        <w:tc>
          <w:tcPr>
            <w:tcW w:w="7566"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Time and Materials payable up to a specified Cap for delivery of the agreed scope of Deliverables;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876E32">
        <w:tc>
          <w:tcPr>
            <w:tcW w:w="2181"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566" w:type="dxa"/>
          </w:tcPr>
          <w:p w:rsidR="00876E32" w:rsidRDefault="00D848F2">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876E32">
        <w:tc>
          <w:tcPr>
            <w:tcW w:w="2181"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Government’s publishing portal for public sector procurement opportunities;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from the earlier of the:</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applicable Start Date; or</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the Effective Date</w:t>
            </w:r>
          </w:p>
          <w:p w:rsidR="00876E32" w:rsidRDefault="00D848F2">
            <w:pPr>
              <w:pBdr>
                <w:top w:val="nil"/>
                <w:left w:val="nil"/>
                <w:bottom w:val="nil"/>
                <w:right w:val="nil"/>
                <w:between w:val="nil"/>
              </w:pBdr>
              <w:tabs>
                <w:tab w:val="left" w:pos="-576"/>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until the applicable End Date;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Man Day, of engaging the Supplier Staff, including:</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876E32" w:rsidRDefault="00D848F2">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876E32" w:rsidRDefault="00D848F2">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876E32" w:rsidRDefault="00D848F2">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amount specified in the Framework Award Form.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Pr>
                <w:rFonts w:ascii="Arial" w:eastAsia="Arial" w:hAnsi="Arial" w:cs="Arial"/>
                <w:b/>
                <w:color w:val="000000"/>
                <w:sz w:val="24"/>
                <w:szCs w:val="24"/>
              </w:rPr>
              <w:t>"Disaster Period</w:t>
            </w:r>
            <w:r>
              <w:rPr>
                <w:rFonts w:ascii="Arial" w:eastAsia="Arial" w:hAnsi="Arial" w:cs="Arial"/>
                <w:color w:val="000000"/>
                <w:sz w:val="24"/>
                <w:szCs w:val="24"/>
              </w:rPr>
              <w:t xml:space="preserve">");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876E32">
        <w:tc>
          <w:tcPr>
            <w:tcW w:w="2181"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566" w:type="dxa"/>
          </w:tcPr>
          <w:p w:rsidR="00876E32" w:rsidRDefault="00D848F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566" w:type="dxa"/>
          </w:tcPr>
          <w:p w:rsidR="00876E32" w:rsidRDefault="00D848F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566" w:type="dxa"/>
          </w:tcPr>
          <w:p w:rsidR="00876E32" w:rsidRDefault="00D848F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566" w:type="dxa"/>
          </w:tcPr>
          <w:p w:rsidR="00876E32" w:rsidRDefault="00D848F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876E32">
        <w:tc>
          <w:tcPr>
            <w:tcW w:w="2181"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“Electronic Invoice”</w:t>
            </w:r>
          </w:p>
        </w:tc>
        <w:tc>
          <w:tcPr>
            <w:tcW w:w="7566"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 xml:space="preserve">"End Date" </w:t>
            </w:r>
          </w:p>
        </w:tc>
        <w:tc>
          <w:tcPr>
            <w:tcW w:w="7566" w:type="dxa"/>
          </w:tcPr>
          <w:p w:rsidR="00876E32" w:rsidRDefault="00D848F2">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876E32" w:rsidRDefault="00D848F2">
            <w:pPr>
              <w:numPr>
                <w:ilvl w:val="1"/>
                <w:numId w:val="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Authority under Clause 10.2); or</w:t>
            </w:r>
          </w:p>
          <w:p w:rsidR="00876E32" w:rsidRDefault="00D848F2">
            <w:pPr>
              <w:numPr>
                <w:ilvl w:val="1"/>
                <w:numId w:val="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876E32">
        <w:tc>
          <w:tcPr>
            <w:tcW w:w="2181" w:type="dxa"/>
          </w:tcPr>
          <w:p w:rsidR="00876E32" w:rsidRDefault="00D848F2">
            <w:pPr>
              <w:pBdr>
                <w:top w:val="nil"/>
                <w:left w:val="nil"/>
                <w:bottom w:val="nil"/>
                <w:right w:val="nil"/>
                <w:between w:val="nil"/>
              </w:pBdr>
              <w:spacing w:after="120" w:line="480" w:lineRule="auto"/>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566" w:type="dxa"/>
          </w:tcPr>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876E32" w:rsidRDefault="00876E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876E32" w:rsidRDefault="00876E32">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2"/>
        <w:gridCol w:w="7568"/>
      </w:tblGrid>
      <w:tr w:rsidR="00876E32">
        <w:tc>
          <w:tcPr>
            <w:tcW w:w="21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568" w:type="dxa"/>
            <w:tcBorders>
              <w:top w:val="nil"/>
              <w:left w:val="nil"/>
              <w:bottom w:val="single" w:sz="8" w:space="0" w:color="000000"/>
              <w:right w:val="single" w:sz="8" w:space="0" w:color="000000"/>
            </w:tcBorders>
            <w:tcMar>
              <w:top w:w="0" w:type="dxa"/>
              <w:left w:w="108" w:type="dxa"/>
              <w:bottom w:w="0" w:type="dxa"/>
              <w:right w:w="108" w:type="dxa"/>
            </w:tcMar>
          </w:tcPr>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876E32" w:rsidRDefault="00D848F2">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  iii) after the end of the Call-off Contract, the Charges paid or payable in the last Contract Year during the Call-off Contract Period; </w:t>
            </w:r>
          </w:p>
          <w:p w:rsidR="00876E32" w:rsidRDefault="00876E32">
            <w:pPr>
              <w:pBdr>
                <w:top w:val="nil"/>
                <w:left w:val="nil"/>
                <w:bottom w:val="nil"/>
                <w:right w:val="nil"/>
                <w:between w:val="nil"/>
              </w:pBdr>
              <w:tabs>
                <w:tab w:val="left" w:pos="-179"/>
              </w:tabs>
              <w:spacing w:after="120"/>
              <w:jc w:val="both"/>
              <w:rPr>
                <w:rFonts w:ascii="Arial" w:eastAsia="Arial" w:hAnsi="Arial" w:cs="Arial"/>
                <w:color w:val="000000"/>
                <w:sz w:val="24"/>
                <w:szCs w:val="24"/>
              </w:rPr>
            </w:pPr>
          </w:p>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w:t>
            </w:r>
          </w:p>
        </w:tc>
      </w:tr>
    </w:tbl>
    <w:p w:rsidR="00876E32" w:rsidRDefault="00876E32">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972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7560"/>
      </w:tblGrid>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“Exit Day”</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shall have the meaning in the European Union (Withdrawal) Act 2018;</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0" w:type="dxa"/>
          </w:tcPr>
          <w:p w:rsidR="00876E32" w:rsidRDefault="00D848F2">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“Fixed Price”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pricing mechanism whereby the Buyer agrees to pay the Supplier based on a capped price which shall cover all work performed and Deliverables required to be provided by the Supplier Staff and all materials used in the project, no matter how much work us required to complete each identified Deliverable within the agreed scope;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or any disaster; 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or earlier termination of the Framework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the end of the Framework Contract as stated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Initial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the Framework Contract as specified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Initial Period may be extended up to a maximum of the number of years in total specified in the Framework Award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 Response);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Procedure and Award Criteria);</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"GDPR"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0" w:type="dxa"/>
          </w:tcPr>
          <w:p w:rsidR="00876E32" w:rsidRDefault="00D848F2">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database made up of any of these) which are embodied in any </w:t>
            </w:r>
            <w:r>
              <w:rPr>
                <w:rFonts w:ascii="Arial" w:eastAsia="Arial" w:hAnsi="Arial" w:cs="Arial"/>
                <w:color w:val="000000"/>
                <w:sz w:val="24"/>
                <w:szCs w:val="24"/>
              </w:rPr>
              <w:lastRenderedPageBreak/>
              <w:t>electronic, magnetic, optical or tangible media, including any of the Authority’s Confidential Information, and which:</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“Incremental Fixed Price”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the pricing mechanism where the overall Statement of Work is based on Capped Time and Materials, but where the prices for individual Deliverables Increments are fixed prior to the work being undertaken. The Charges for the first Deliverable Increment or Deliverables Increments for the Statement of Work will be fixed, but the Charges for subsequent Deliverables Increments will be </w:t>
            </w:r>
            <w:r>
              <w:rPr>
                <w:rFonts w:ascii="Arial" w:eastAsia="Arial" w:hAnsi="Arial" w:cs="Arial"/>
                <w:sz w:val="24"/>
                <w:szCs w:val="24"/>
              </w:rPr>
              <w:lastRenderedPageBreak/>
              <w:t>reviewed and refined prior to the execution of each subsequent Deliverables Increment within the same Statement of Work;</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"Indemnifier"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in respect of a person:</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proposal is made for a voluntary arrangement within Part I of the Insolvency Act 1986 or of any other composition scheme or arrangement with, or assignment for the benefit of, its creditors;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receiver, administrative receiver or similar officer is appointed over the whole or any part of its business or assets;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 application is made either for the appointment of an administrator or for an administration order, an administrator is appointed, or notice of intention to appoint an administrator is given;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it is or becomes insolvent within the meaning of section 123 of the Insolvency Act 1986;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being a "small company" within the meaning of section 382(3) of the Companies Act 2006, a moratorium comes into force pursuant to Schedule A1 of the Insolvency Act 1986;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where the person is an individual or partnership, any event analogous to those listed in limbs (a) to (g) (inclusive) occurs in relation to that individual or partnership;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event analogous to those listed in limbs (a) to (h) (inclusive) occurs under the law of any other jurisdiction;</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9">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“Joint Control”</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where two or more Controllers agree to jointly determine the purposes and means of Processing Personal Data;</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Personnel"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876E32">
        <w:trPr>
          <w:trHeight w:val="357"/>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876E32">
        <w:trPr>
          <w:trHeight w:val="426"/>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which is relied upon to deliver any work package within the Deliverables in their entirety; and/or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876E32" w:rsidRDefault="00D848F2">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“KPI Target”</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 key performance indicator target included in the Balanced Scorecard;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“LED”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 Day"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Man Hours, whether or not such hours are worked consecutively and whether or not they are worked on the same day;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 Hours"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"Management Information" or “MI”</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876E32" w:rsidRDefault="00D848F2">
            <w:pPr>
              <w:numPr>
                <w:ilvl w:val="1"/>
                <w:numId w:val="3"/>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876E32" w:rsidRDefault="00D848F2">
            <w:pPr>
              <w:numPr>
                <w:ilvl w:val="1"/>
                <w:numId w:val="3"/>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876E32" w:rsidRDefault="00D848F2">
            <w:pPr>
              <w:numPr>
                <w:ilvl w:val="1"/>
                <w:numId w:val="3"/>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National Insurance Contributions Regulations 2012 (SI 2012/1868) made under section 132A of  the Social Security Administration Act 1992;</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 Relevant Tax Authority successfully challenging the Supplier under the General Anti-Abuse Rule or the Halifax Abuse Principle or under any tax rules or legislation in any jurisdiction </w:t>
            </w:r>
            <w:r>
              <w:rPr>
                <w:rFonts w:ascii="Arial" w:eastAsia="Arial" w:hAnsi="Arial" w:cs="Arial"/>
                <w:color w:val="000000"/>
                <w:sz w:val="24"/>
                <w:szCs w:val="24"/>
              </w:rPr>
              <w:lastRenderedPageBreak/>
              <w:t>that have an effect equivalent or similar to the General Anti-Abuse Rule or the Halifax Abuse Principle;</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0">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"Progress Meeting Frequency"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if applicable, in the case of the Framework Contract or Call-Off Schedule 9 (Security), if applicable, in the case of a Call-Off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Template)which shall include:</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10.4.3 to 10.4.5 (Rectification Plan Process);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0" w:type="dxa"/>
          </w:tcPr>
          <w:p w:rsidR="00876E32" w:rsidRDefault="00D848F2">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10.6 given by the Supplier to the Buyer providing notification that payment has not been received on time;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0" w:type="dxa"/>
          </w:tcPr>
          <w:p w:rsidR="00876E32" w:rsidRDefault="00D848F2">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“Restricted Staff”</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any person employed or engaged by either Party, in the capacity of director or in any research, technical, IT, security, engineering, procurement, financial, legal or managerial role who has been engaged in the provision of the Deliverables or management of the Contract either as principal, agent, employee, independent contractor or in any other form of employment or engagement over the previous 12 months, directly worked with or had any material dealings, but shall not include any person employed or engaged in an administrative, clerical, manual or secretarial capacity;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“Schedules"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attachment to a Framework Contract or Call-Off Contract which contains important information specific to each aspect of buying and selling;</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"Security Management Plan"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876E32">
        <w:trPr>
          <w:trHeight w:val="945"/>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876E32">
        <w:trPr>
          <w:trHeight w:val="945"/>
        </w:trPr>
        <w:tc>
          <w:tcPr>
            <w:tcW w:w="2160" w:type="dxa"/>
          </w:tcPr>
          <w:p w:rsidR="00876E32" w:rsidRDefault="00D848F2">
            <w:pPr>
              <w:spacing w:after="120"/>
              <w:ind w:left="-108"/>
              <w:rPr>
                <w:rFonts w:ascii="Arial" w:eastAsia="Arial" w:hAnsi="Arial" w:cs="Arial"/>
                <w:b/>
                <w:color w:val="000000"/>
                <w:sz w:val="24"/>
                <w:szCs w:val="24"/>
              </w:rPr>
            </w:pPr>
            <w:r>
              <w:rPr>
                <w:rFonts w:ascii="Arial" w:eastAsia="Arial" w:hAnsi="Arial" w:cs="Arial"/>
                <w:b/>
                <w:sz w:val="24"/>
                <w:szCs w:val="24"/>
              </w:rPr>
              <w:t>“Software Support and Maintenance”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color w:val="202124"/>
                <w:sz w:val="24"/>
                <w:szCs w:val="24"/>
                <w:highlight w:val="white"/>
              </w:rPr>
              <w:t>Software Support and Maintenance includes any software upgrades, annual updates, patches and fixes needed to improve functionality and keep the software in working order;</w:t>
            </w:r>
          </w:p>
        </w:tc>
      </w:tr>
      <w:tr w:rsidR="00876E32">
        <w:trPr>
          <w:trHeight w:val="945"/>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876E32">
        <w:trPr>
          <w:trHeight w:val="945"/>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76E32">
        <w:trPr>
          <w:trHeight w:val="945"/>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"Specification"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“Statement of Works” “(SOW)”</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document which, upon its execution by the Buyer and Supplier, shall become incorporated into their Call-Off Contract and outlines the agreed body of works to be undertaken as part of the Call-Off Contract Deliverables. There may be any number of Statements of Work incorporated into a Call-Off Contract and each Statement of Work may include (but is not limited to) the Statement of Requirements, identified output(s), completion date(s) and charging method(s);</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“SOW End Date”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date up to and including this date when the supply of the Deliverables under the Statement of Work shall cease;</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“SOW Start Date”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the date of the start of the Statement of Works as stated in the SOW;  </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“Standing Instructions”</w:t>
            </w:r>
          </w:p>
        </w:tc>
        <w:tc>
          <w:tcPr>
            <w:tcW w:w="7560" w:type="dxa"/>
          </w:tcPr>
          <w:p w:rsidR="00876E32" w:rsidRDefault="00D848F2">
            <w:pPr>
              <w:spacing w:before="120" w:after="120" w:line="276" w:lineRule="auto"/>
              <w:jc w:val="both"/>
              <w:rPr>
                <w:rFonts w:ascii="Arial" w:eastAsia="Arial" w:hAnsi="Arial" w:cs="Arial"/>
                <w:sz w:val="24"/>
                <w:szCs w:val="24"/>
              </w:rPr>
            </w:pPr>
            <w:r>
              <w:rPr>
                <w:rFonts w:ascii="Arial" w:eastAsia="Arial" w:hAnsi="Arial" w:cs="Arial"/>
                <w:sz w:val="24"/>
                <w:szCs w:val="24"/>
              </w:rPr>
              <w:t xml:space="preserve">Standing Instructions are a mechanism that supports the implementation of new policy that is mandated across government as a whole or in certain sectors. It is not possible at the Framework Agreement procurement stage to provide for every instance but examples such as the mandate of technical standards i.e. the use of Greening government ICT strategy; or implementation of standardisation across government. </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"Storage Media"</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the part of any device that is capable of storing and retrieving data; </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lastRenderedPageBreak/>
              <w:t>"Sub-Contract"</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any contract or agreement (or proposed contract or agreement), other than a Call-Off Contract or the Framework Contract, pursuant to which a third party:</w:t>
            </w:r>
          </w:p>
          <w:p w:rsidR="00876E32" w:rsidRDefault="00D848F2">
            <w:pPr>
              <w:numPr>
                <w:ilvl w:val="1"/>
                <w:numId w:val="5"/>
              </w:numPr>
              <w:tabs>
                <w:tab w:val="left" w:pos="-576"/>
                <w:tab w:val="left" w:pos="144"/>
              </w:tabs>
              <w:spacing w:after="120"/>
              <w:ind w:left="576" w:hanging="432"/>
              <w:jc w:val="both"/>
              <w:rPr>
                <w:sz w:val="24"/>
                <w:szCs w:val="24"/>
              </w:rPr>
            </w:pPr>
            <w:r>
              <w:rPr>
                <w:rFonts w:ascii="Arial" w:eastAsia="Arial" w:hAnsi="Arial" w:cs="Arial"/>
                <w:sz w:val="24"/>
                <w:szCs w:val="24"/>
              </w:rPr>
              <w:t>provides the Deliverables (or any part of them);</w:t>
            </w:r>
          </w:p>
          <w:p w:rsidR="00876E32" w:rsidRDefault="00D848F2">
            <w:pPr>
              <w:numPr>
                <w:ilvl w:val="1"/>
                <w:numId w:val="5"/>
              </w:numPr>
              <w:tabs>
                <w:tab w:val="left" w:pos="-576"/>
                <w:tab w:val="left" w:pos="144"/>
              </w:tabs>
              <w:spacing w:after="120"/>
              <w:ind w:hanging="288"/>
              <w:jc w:val="both"/>
              <w:rPr>
                <w:sz w:val="24"/>
                <w:szCs w:val="24"/>
              </w:rPr>
            </w:pPr>
            <w:r>
              <w:rPr>
                <w:rFonts w:ascii="Arial" w:eastAsia="Arial" w:hAnsi="Arial" w:cs="Arial"/>
                <w:sz w:val="24"/>
                <w:szCs w:val="24"/>
              </w:rPr>
              <w:t>provides facilities or services necessary for the provision of the Deliverables (or any part of them); and/or</w:t>
            </w:r>
          </w:p>
          <w:p w:rsidR="00876E32" w:rsidRDefault="00D848F2">
            <w:pPr>
              <w:numPr>
                <w:ilvl w:val="1"/>
                <w:numId w:val="5"/>
              </w:numPr>
              <w:tabs>
                <w:tab w:val="left" w:pos="-576"/>
                <w:tab w:val="left" w:pos="144"/>
              </w:tabs>
              <w:spacing w:after="120"/>
              <w:ind w:hanging="288"/>
              <w:jc w:val="both"/>
              <w:rPr>
                <w:sz w:val="24"/>
                <w:szCs w:val="24"/>
              </w:rPr>
            </w:pPr>
            <w:r>
              <w:rPr>
                <w:rFonts w:ascii="Arial" w:eastAsia="Arial" w:hAnsi="Arial" w:cs="Arial"/>
                <w:sz w:val="24"/>
                <w:szCs w:val="24"/>
              </w:rPr>
              <w:t>is responsible for the management, direction or control of the provision of the Deliverables (or any part of them);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"Supplier Compliance Officer"</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person(s) appointed by the Supplier who is responsible for ensuring that the Supplier complies with its legal obligations;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876E32">
        <w:tc>
          <w:tcPr>
            <w:tcW w:w="2160" w:type="dxa"/>
          </w:tcPr>
          <w:p w:rsidR="00876E32" w:rsidRDefault="00D848F2">
            <w:pPr>
              <w:pBdr>
                <w:top w:val="nil"/>
                <w:left w:val="nil"/>
                <w:bottom w:val="nil"/>
                <w:right w:val="nil"/>
                <w:between w:val="nil"/>
              </w:pBdr>
              <w:tabs>
                <w:tab w:val="left" w:pos="1134"/>
              </w:tabs>
              <w:spacing w:before="120" w:after="120"/>
              <w:ind w:left="567"/>
              <w:rPr>
                <w:rFonts w:ascii="Arial" w:eastAsia="Arial" w:hAnsi="Arial" w:cs="Arial"/>
                <w:b/>
                <w:color w:val="000000"/>
                <w:sz w:val="24"/>
                <w:szCs w:val="24"/>
              </w:rPr>
            </w:pPr>
            <w:r>
              <w:rPr>
                <w:rFonts w:ascii="Arial" w:eastAsia="Arial" w:hAnsi="Arial" w:cs="Arial"/>
                <w:b/>
                <w:color w:val="000000"/>
                <w:sz w:val="24"/>
                <w:szCs w:val="24"/>
              </w:rPr>
              <w:t>"Supplier'sContract Manager</w:t>
            </w:r>
            <w:r>
              <w:rPr>
                <w:rFonts w:ascii="Arial" w:eastAsia="Arial" w:hAnsi="Arial" w:cs="Arial"/>
                <w:b/>
                <w:sz w:val="24"/>
                <w:szCs w:val="24"/>
              </w:rPr>
              <w:t>”</w:t>
            </w:r>
            <w:r>
              <w:rPr>
                <w:rFonts w:ascii="Arial" w:eastAsia="Arial" w:hAnsi="Arial" w:cs="Arial"/>
                <w:b/>
                <w:color w:val="000000"/>
                <w:sz w:val="24"/>
                <w:szCs w:val="24"/>
              </w:rPr>
              <w:t xml:space="preserve"> </w:t>
            </w:r>
          </w:p>
        </w:tc>
        <w:tc>
          <w:tcPr>
            <w:tcW w:w="7560" w:type="dxa"/>
          </w:tcPr>
          <w:p w:rsidR="00876E32" w:rsidRDefault="00D848F2">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lastRenderedPageBreak/>
              <w:t>"Supplier Marketing Contact"</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shall be the person identified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at Annex 1 of Schedule 12  Supply Chain Visibility;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“Tax”</w:t>
            </w:r>
          </w:p>
        </w:tc>
        <w:tc>
          <w:tcPr>
            <w:tcW w:w="7560" w:type="dxa"/>
          </w:tcPr>
          <w:p w:rsidR="00876E32" w:rsidRDefault="00D848F2">
            <w:pPr>
              <w:numPr>
                <w:ilvl w:val="0"/>
                <w:numId w:val="2"/>
              </w:numPr>
              <w:tabs>
                <w:tab w:val="left" w:pos="-179"/>
                <w:tab w:val="left" w:pos="-9"/>
              </w:tabs>
              <w:spacing w:after="120"/>
              <w:ind w:left="316"/>
              <w:jc w:val="both"/>
              <w:rPr>
                <w:rFonts w:ascii="Arial" w:eastAsia="Arial" w:hAnsi="Arial" w:cs="Arial"/>
                <w:sz w:val="24"/>
                <w:szCs w:val="24"/>
              </w:rPr>
            </w:pPr>
            <w:r>
              <w:rPr>
                <w:rFonts w:ascii="Arial" w:eastAsia="Arial" w:hAnsi="Arial" w:cs="Arial"/>
                <w:sz w:val="24"/>
                <w:szCs w:val="24"/>
              </w:rPr>
              <w:t>all forms of taxation whether direct or indirect;</w:t>
            </w:r>
          </w:p>
          <w:p w:rsidR="00876E32" w:rsidRDefault="00D848F2">
            <w:pPr>
              <w:numPr>
                <w:ilvl w:val="0"/>
                <w:numId w:val="2"/>
              </w:numPr>
              <w:tabs>
                <w:tab w:val="left" w:pos="-179"/>
                <w:tab w:val="left" w:pos="-9"/>
              </w:tabs>
              <w:spacing w:after="120"/>
              <w:ind w:left="316"/>
              <w:jc w:val="both"/>
              <w:rPr>
                <w:rFonts w:ascii="Arial" w:eastAsia="Arial" w:hAnsi="Arial" w:cs="Arial"/>
                <w:sz w:val="24"/>
                <w:szCs w:val="24"/>
              </w:rPr>
            </w:pPr>
            <w:r>
              <w:rPr>
                <w:rFonts w:ascii="Arial" w:eastAsia="Arial" w:hAnsi="Arial" w:cs="Arial"/>
                <w:sz w:val="24"/>
                <w:szCs w:val="24"/>
              </w:rPr>
              <w:t>national insurance contributions in the United Kingdom and similar contributions or obligations in any other jurisdiction;</w:t>
            </w:r>
          </w:p>
          <w:p w:rsidR="00876E32" w:rsidRDefault="00D848F2">
            <w:pPr>
              <w:numPr>
                <w:ilvl w:val="0"/>
                <w:numId w:val="2"/>
              </w:numPr>
              <w:tabs>
                <w:tab w:val="left" w:pos="-179"/>
                <w:tab w:val="left" w:pos="-9"/>
              </w:tabs>
              <w:spacing w:after="120"/>
              <w:ind w:left="316"/>
              <w:jc w:val="both"/>
              <w:rPr>
                <w:rFonts w:ascii="Arial" w:eastAsia="Arial" w:hAnsi="Arial" w:cs="Arial"/>
                <w:sz w:val="24"/>
                <w:szCs w:val="24"/>
              </w:rPr>
            </w:pPr>
            <w:r>
              <w:rPr>
                <w:rFonts w:ascii="Arial" w:eastAsia="Arial" w:hAnsi="Arial" w:cs="Arial"/>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rsidR="00876E32" w:rsidRDefault="00D848F2">
            <w:pPr>
              <w:numPr>
                <w:ilvl w:val="0"/>
                <w:numId w:val="2"/>
              </w:numPr>
              <w:tabs>
                <w:tab w:val="left" w:pos="-179"/>
                <w:tab w:val="left" w:pos="-9"/>
              </w:tabs>
              <w:spacing w:after="120"/>
              <w:ind w:left="316"/>
              <w:jc w:val="both"/>
              <w:rPr>
                <w:rFonts w:ascii="Arial" w:eastAsia="Arial" w:hAnsi="Arial" w:cs="Arial"/>
                <w:sz w:val="24"/>
                <w:szCs w:val="24"/>
              </w:rPr>
            </w:pPr>
            <w:r>
              <w:rPr>
                <w:rFonts w:ascii="Arial" w:eastAsia="Arial" w:hAnsi="Arial" w:cs="Arial"/>
                <w:sz w:val="24"/>
                <w:szCs w:val="24"/>
              </w:rPr>
              <w:t>any penalty, fine, surcharge, interest, charges or costs relating to any of the above,</w:t>
            </w:r>
          </w:p>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in each case wherever chargeable and whether of the United Kingdom and any other jurisdiction;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 Issue"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a Call-Off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876E32" w:rsidRDefault="00D848F2">
            <w:pPr>
              <w:numPr>
                <w:ilvl w:val="1"/>
                <w:numId w:val="3"/>
              </w:numPr>
              <w:pBdr>
                <w:top w:val="nil"/>
                <w:left w:val="nil"/>
                <w:bottom w:val="nil"/>
                <w:right w:val="nil"/>
                <w:between w:val="nil"/>
              </w:pBdr>
              <w:tabs>
                <w:tab w:val="left" w:pos="-576"/>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0" w:type="dxa"/>
          </w:tcPr>
          <w:p w:rsidR="00876E32" w:rsidRDefault="00D848F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876E32" w:rsidRDefault="00D848F2">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876E32" w:rsidRDefault="00D848F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876E32" w:rsidRDefault="00876E3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Clause 24 (Changing the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w:t>
            </w:r>
            <w:r>
              <w:rPr>
                <w:rFonts w:ascii="Arial" w:eastAsia="Arial" w:hAnsi="Arial" w:cs="Arial"/>
                <w:sz w:val="24"/>
                <w:szCs w:val="24"/>
              </w:rPr>
              <w:t xml:space="preserve"> </w:t>
            </w:r>
            <w:r>
              <w:rPr>
                <w:rFonts w:ascii="Arial" w:eastAsia="Arial" w:hAnsi="Arial" w:cs="Arial"/>
                <w:color w:val="000000"/>
                <w:sz w:val="24"/>
                <w:szCs w:val="24"/>
              </w:rPr>
              <w:t xml:space="preserve">Order Form. </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"Work Day"</w:t>
            </w:r>
          </w:p>
        </w:tc>
        <w:tc>
          <w:tcPr>
            <w:tcW w:w="7560" w:type="dxa"/>
          </w:tcPr>
          <w:p w:rsidR="00876E32" w:rsidRDefault="009E0128" w:rsidP="009E0128">
            <w:pPr>
              <w:tabs>
                <w:tab w:val="left" w:pos="-179"/>
                <w:tab w:val="left" w:pos="-9"/>
              </w:tabs>
              <w:spacing w:after="120"/>
              <w:ind w:left="170"/>
              <w:jc w:val="both"/>
              <w:rPr>
                <w:rFonts w:ascii="Arial" w:eastAsia="Arial" w:hAnsi="Arial" w:cs="Arial"/>
                <w:sz w:val="24"/>
                <w:szCs w:val="24"/>
              </w:rPr>
            </w:pPr>
            <w:r w:rsidRPr="009E0128">
              <w:rPr>
                <w:rFonts w:ascii="Arial" w:eastAsia="Arial" w:hAnsi="Arial" w:cs="Arial"/>
                <w:sz w:val="24"/>
                <w:szCs w:val="24"/>
              </w:rPr>
              <w:t>8.0 Work Hours, whether or not such hours are worked consecutively and whether or not they are worked on the same day; and</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"Work Hours"</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876E32" w:rsidRDefault="00876E32">
      <w:pPr>
        <w:spacing w:after="0" w:line="240" w:lineRule="auto"/>
        <w:rPr>
          <w:rFonts w:ascii="Arial" w:eastAsia="Arial" w:hAnsi="Arial" w:cs="Arial"/>
          <w:sz w:val="24"/>
          <w:szCs w:val="24"/>
        </w:rPr>
      </w:pPr>
    </w:p>
    <w:p w:rsidR="00876E32" w:rsidRDefault="00876E32">
      <w:pPr>
        <w:spacing w:after="0" w:line="240" w:lineRule="auto"/>
        <w:rPr>
          <w:rFonts w:ascii="Arial" w:eastAsia="Arial" w:hAnsi="Arial" w:cs="Arial"/>
          <w:sz w:val="24"/>
          <w:szCs w:val="24"/>
        </w:rPr>
      </w:pPr>
    </w:p>
    <w:sectPr w:rsidR="00876E32">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572" w:rsidRDefault="00485572">
      <w:pPr>
        <w:spacing w:after="0" w:line="240" w:lineRule="auto"/>
      </w:pPr>
      <w:r>
        <w:separator/>
      </w:r>
    </w:p>
  </w:endnote>
  <w:endnote w:type="continuationSeparator" w:id="0">
    <w:p w:rsidR="00485572" w:rsidRDefault="00485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E32" w:rsidRDefault="00D848F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r>
      <w:rPr>
        <w:rFonts w:ascii="Arial" w:eastAsia="Arial" w:hAnsi="Arial" w:cs="Arial"/>
        <w:sz w:val="20"/>
        <w:szCs w:val="20"/>
      </w:rPr>
      <w:tab/>
      <w:t xml:space="preserve">                                           </w:t>
    </w:r>
  </w:p>
  <w:p w:rsidR="00876E32" w:rsidRDefault="00D848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61B83">
      <w:rPr>
        <w:rFonts w:ascii="Arial" w:eastAsia="Arial" w:hAnsi="Arial" w:cs="Arial"/>
        <w:noProof/>
        <w:color w:val="000000"/>
        <w:sz w:val="20"/>
        <w:szCs w:val="20"/>
      </w:rPr>
      <w:t>10</w:t>
    </w:r>
    <w:r>
      <w:rPr>
        <w:rFonts w:ascii="Arial" w:eastAsia="Arial" w:hAnsi="Arial" w:cs="Arial"/>
        <w:color w:val="000000"/>
        <w:sz w:val="20"/>
        <w:szCs w:val="20"/>
      </w:rPr>
      <w:fldChar w:fldCharType="end"/>
    </w:r>
  </w:p>
  <w:p w:rsidR="00876E32" w:rsidRDefault="00D8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E32" w:rsidRDefault="00D848F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876E32" w:rsidRDefault="00D848F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876E32" w:rsidRDefault="00D8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572" w:rsidRDefault="00485572">
      <w:pPr>
        <w:spacing w:after="0" w:line="240" w:lineRule="auto"/>
      </w:pPr>
      <w:r>
        <w:separator/>
      </w:r>
    </w:p>
  </w:footnote>
  <w:footnote w:type="continuationSeparator" w:id="0">
    <w:p w:rsidR="00485572" w:rsidRDefault="00485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E32" w:rsidRDefault="00D848F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876E32" w:rsidRDefault="00D848F2">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E32" w:rsidRDefault="00D848F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876E32" w:rsidRDefault="00D848F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1617"/>
    <w:multiLevelType w:val="multilevel"/>
    <w:tmpl w:val="2E0A95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6FB5430"/>
    <w:multiLevelType w:val="multilevel"/>
    <w:tmpl w:val="1EA0316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4833438"/>
    <w:multiLevelType w:val="multilevel"/>
    <w:tmpl w:val="1CA8A1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575863"/>
    <w:multiLevelType w:val="multilevel"/>
    <w:tmpl w:val="1546712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79D04AA"/>
    <w:multiLevelType w:val="multilevel"/>
    <w:tmpl w:val="215AF4E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487616"/>
    <w:multiLevelType w:val="multilevel"/>
    <w:tmpl w:val="185270EC"/>
    <w:lvl w:ilvl="0">
      <w:start w:val="1"/>
      <w:numFmt w:val="lowerLetter"/>
      <w:pStyle w:val="ORDERFORML1PraraNo"/>
      <w:lvlText w:val="%1)"/>
      <w:lvlJc w:val="left"/>
      <w:pPr>
        <w:ind w:left="432" w:hanging="262"/>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4CF22CD9"/>
    <w:multiLevelType w:val="multilevel"/>
    <w:tmpl w:val="603080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E195498"/>
    <w:multiLevelType w:val="multilevel"/>
    <w:tmpl w:val="4490D838"/>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abstractNumId w:val="7"/>
  </w:num>
  <w:num w:numId="2">
    <w:abstractNumId w:val="4"/>
  </w:num>
  <w:num w:numId="3">
    <w:abstractNumId w:val="6"/>
  </w:num>
  <w:num w:numId="4">
    <w:abstractNumId w:val="3"/>
  </w:num>
  <w:num w:numId="5">
    <w:abstractNumId w:val="0"/>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E32"/>
    <w:rsid w:val="003C609A"/>
    <w:rsid w:val="00485572"/>
    <w:rsid w:val="00525778"/>
    <w:rsid w:val="005B7358"/>
    <w:rsid w:val="00870054"/>
    <w:rsid w:val="00876E32"/>
    <w:rsid w:val="009E0128"/>
    <w:rsid w:val="00A40E02"/>
    <w:rsid w:val="00CC3EBD"/>
    <w:rsid w:val="00D61B83"/>
    <w:rsid w:val="00D848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5D038-57CA-424A-9188-CC43FDC5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453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tyles" Target="styles.xml"/><Relationship Id="rId9" Type="http://schemas.openxmlformats.org/officeDocument/2006/relationships/hyperlink" Target="https://www.gov.uk/guidance/ir35-find-out-if-it-appl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z7kaS4I1GfqWZ0AYB0dMyZ8MFA==">AMUW2mV+Z1a/tKmILINnSE0Y/ikbiX3f+oTgBaFTDEf2ZOAlybqGrMF4UCm4hbX83nxd6Te2NCZa5QY8fn+59NeB1kEuFcpm5okhesKa7ivkOYwOM70c0ATJsdsvujhMsH3oxn1nJ8jbm8OH1dxsutj387RPb7+Gp0PFypmfRETtcigCdwHdsLo=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94DA1B-2B53-4248-B7B7-E87A13BD0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9742</Words>
  <Characters>55535</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Liam Miller</cp:lastModifiedBy>
  <cp:revision>2</cp:revision>
  <dcterms:created xsi:type="dcterms:W3CDTF">2020-12-10T15:44:00Z</dcterms:created>
  <dcterms:modified xsi:type="dcterms:W3CDTF">2020-12-10T15:44:00Z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